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B3CAF" w:rsidR="00A24FFC" w:rsidP="00FB3CAF" w:rsidRDefault="00E87601" w14:paraId="6C6EB4F3" w14:textId="77777777">
      <w:pPr>
        <w:pStyle w:val="1"/>
        <w:spacing w:line="360" w:lineRule="exact"/>
        <w:rPr>
          <w:rFonts w:ascii="新細明體" w:hAnsi="新細明體" w:eastAsia="新細明體" w:cs="新細明體"/>
          <w:color w:val="000000"/>
        </w:rPr>
      </w:pPr>
      <w:r w:rsidRPr="00F6439B">
        <w:rPr>
          <w:rFonts w:hint="eastAsia" w:ascii="新細明體" w:hAnsi="新細明體" w:eastAsia="新細明體" w:cs="新細明體"/>
          <w:color w:val="000000"/>
        </w:rPr>
        <w:t>期貨商經營證券交易輔助業務內部控制制度標準規範</w:t>
      </w:r>
      <w:proofErr w:type="gramStart"/>
      <w:r w:rsidRPr="00F6439B">
        <w:rPr>
          <w:rFonts w:hint="eastAsia" w:ascii="新細明體" w:hAnsi="新細明體" w:eastAsia="新細明體" w:cs="新細明體"/>
          <w:color w:val="000000"/>
        </w:rPr>
        <w:t>─</w:t>
      </w:r>
      <w:proofErr w:type="gramEnd"/>
      <w:r w:rsidRPr="00F6439B">
        <w:rPr>
          <w:rFonts w:hint="eastAsia" w:ascii="新細明體" w:hAnsi="新細明體" w:eastAsia="新細明體" w:cs="新細明體"/>
          <w:color w:val="000000"/>
        </w:rPr>
        <w:t>內部控制制度修</w:t>
      </w:r>
      <w:r w:rsidRPr="00F6439B" w:rsidR="00D25C08">
        <w:rPr>
          <w:rFonts w:hint="eastAsia" w:ascii="新細明體" w:hAnsi="新細明體" w:eastAsia="新細明體" w:cs="新細明體"/>
          <w:color w:val="000000"/>
        </w:rPr>
        <w:t>正</w:t>
      </w:r>
      <w:r w:rsidRPr="00F6439B">
        <w:rPr>
          <w:rFonts w:hint="eastAsia" w:ascii="新細明體" w:hAnsi="新細明體" w:eastAsia="新細明體" w:cs="新細明體"/>
          <w:color w:val="000000"/>
        </w:rPr>
        <w:t>對照表</w:t>
      </w:r>
      <w:bookmarkStart w:name="Article_Eff_Date" w:id="1"/>
      <w:r w:rsidRPr="0031289E" w:rsidR="0031289E">
        <w:rPr>
          <w:rFonts w:hint="eastAsia" w:ascii="新細明體" w:hAnsi="新細明體" w:eastAsia="新細明體" w:cs="新細明體"/>
          <w:color w:val="000000"/>
        </w:rPr>
        <w:t>草案</w:t>
      </w:r>
      <w:bookmarkEnd w:id="1"/>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384"/>
        <w:gridCol w:w="1276"/>
        <w:gridCol w:w="5386"/>
        <w:gridCol w:w="5387"/>
        <w:gridCol w:w="2023"/>
      </w:tblGrid>
      <w:tr w:rsidRPr="00F6439B" w:rsidR="001E533B" w:rsidTr="004A29F0" w14:paraId="5B8288D9" w14:textId="77777777">
        <w:trPr>
          <w:tblHeader/>
        </w:trPr>
        <w:tc>
          <w:tcPr>
            <w:tcW w:w="1384" w:type="dxa"/>
            <w:tcBorders>
              <w:top w:val="single" w:color="auto" w:sz="12" w:space="0"/>
              <w:left w:val="single" w:color="auto" w:sz="12" w:space="0"/>
              <w:bottom w:val="single" w:color="auto" w:sz="12" w:space="0"/>
            </w:tcBorders>
            <w:shd w:val="clear" w:color="auto" w:fill="auto"/>
          </w:tcPr>
          <w:p w:rsidRPr="00F6439B" w:rsidR="001E533B" w:rsidP="00F6439B" w:rsidRDefault="00FB3CAF" w14:paraId="6E20BAD9" w14:textId="77777777">
            <w:pPr>
              <w:jc w:val="center"/>
              <w:rPr>
                <w:rFonts w:ascii="新細明體" w:hAnsi="新細明體" w:eastAsia="新細明體"/>
              </w:rPr>
            </w:pPr>
            <w:r w:rsidRPr="00F6439B">
              <w:rPr>
                <w:rFonts w:hint="eastAsia" w:ascii="新細明體" w:hAnsi="新細明體" w:eastAsia="新細明體"/>
              </w:rPr>
              <w:t>編號</w:t>
            </w:r>
          </w:p>
        </w:tc>
        <w:tc>
          <w:tcPr>
            <w:tcW w:w="1276" w:type="dxa"/>
            <w:tcBorders>
              <w:top w:val="single" w:color="auto" w:sz="12" w:space="0"/>
              <w:bottom w:val="single" w:color="auto" w:sz="12" w:space="0"/>
            </w:tcBorders>
            <w:shd w:val="clear" w:color="auto" w:fill="auto"/>
          </w:tcPr>
          <w:p w:rsidRPr="00F6439B" w:rsidR="00A24FFC" w:rsidP="001E533B" w:rsidRDefault="001E533B" w14:paraId="78ACF850" w14:textId="77777777">
            <w:pPr>
              <w:rPr>
                <w:rFonts w:ascii="新細明體" w:hAnsi="新細明體" w:eastAsia="新細明體"/>
              </w:rPr>
            </w:pPr>
            <w:r w:rsidRPr="00F6439B">
              <w:rPr>
                <w:rFonts w:hint="eastAsia" w:ascii="新細明體" w:hAnsi="新細明體" w:eastAsia="新細明體"/>
              </w:rPr>
              <w:t>作業項目</w:t>
            </w:r>
          </w:p>
        </w:tc>
        <w:tc>
          <w:tcPr>
            <w:tcW w:w="5386" w:type="dxa"/>
            <w:tcBorders>
              <w:top w:val="single" w:color="auto" w:sz="12" w:space="0"/>
              <w:bottom w:val="single" w:color="auto" w:sz="12" w:space="0"/>
            </w:tcBorders>
            <w:shd w:val="clear" w:color="auto" w:fill="auto"/>
          </w:tcPr>
          <w:p w:rsidRPr="00F6439B" w:rsidR="00A24FFC" w:rsidP="00F6439B" w:rsidRDefault="001E533B" w14:paraId="1EBEFB0B" w14:textId="77777777">
            <w:pPr>
              <w:jc w:val="center"/>
              <w:rPr>
                <w:rFonts w:ascii="新細明體" w:hAnsi="新細明體" w:eastAsia="新細明體"/>
              </w:rPr>
            </w:pPr>
            <w:r w:rsidRPr="00F6439B">
              <w:rPr>
                <w:rFonts w:hint="eastAsia" w:ascii="新細明體" w:hAnsi="新細明體" w:eastAsia="新細明體" w:cs="新細明體"/>
                <w:color w:val="000000"/>
              </w:rPr>
              <w:t>修正後內容</w:t>
            </w:r>
          </w:p>
        </w:tc>
        <w:tc>
          <w:tcPr>
            <w:tcW w:w="5387" w:type="dxa"/>
            <w:tcBorders>
              <w:top w:val="single" w:color="auto" w:sz="12" w:space="0"/>
              <w:bottom w:val="single" w:color="auto" w:sz="12" w:space="0"/>
            </w:tcBorders>
            <w:shd w:val="clear" w:color="auto" w:fill="auto"/>
          </w:tcPr>
          <w:p w:rsidRPr="00F6439B" w:rsidR="00A24FFC" w:rsidP="00F6439B" w:rsidRDefault="001E533B" w14:paraId="1FB190B7" w14:textId="77777777">
            <w:pPr>
              <w:jc w:val="center"/>
              <w:rPr>
                <w:rFonts w:ascii="新細明體" w:hAnsi="新細明體" w:eastAsia="新細明體"/>
              </w:rPr>
            </w:pPr>
            <w:r w:rsidRPr="00F6439B">
              <w:rPr>
                <w:rFonts w:hint="eastAsia" w:ascii="新細明體" w:hAnsi="新細明體" w:eastAsia="新細明體" w:cs="新細明體"/>
                <w:color w:val="000000"/>
              </w:rPr>
              <w:t>修正前內容</w:t>
            </w:r>
          </w:p>
        </w:tc>
        <w:tc>
          <w:tcPr>
            <w:tcW w:w="2023" w:type="dxa"/>
            <w:tcBorders>
              <w:top w:val="single" w:color="auto" w:sz="12" w:space="0"/>
              <w:bottom w:val="single" w:color="auto" w:sz="12" w:space="0"/>
              <w:right w:val="single" w:color="auto" w:sz="12" w:space="0"/>
            </w:tcBorders>
            <w:shd w:val="clear" w:color="auto" w:fill="auto"/>
          </w:tcPr>
          <w:p w:rsidRPr="00F6439B" w:rsidR="00A24FFC" w:rsidP="00F6439B" w:rsidRDefault="00C904D3" w14:paraId="7A098D66" w14:textId="77777777">
            <w:pPr>
              <w:jc w:val="center"/>
              <w:rPr>
                <w:rFonts w:ascii="新細明體" w:hAnsi="新細明體" w:eastAsia="新細明體"/>
              </w:rPr>
            </w:pPr>
            <w:r w:rsidRPr="00F6439B">
              <w:rPr>
                <w:rFonts w:hint="eastAsia" w:ascii="新細明體" w:hAnsi="新細明體" w:eastAsia="新細明體" w:cs="新細明體"/>
                <w:color w:val="000000"/>
              </w:rPr>
              <w:t>修正說明</w:t>
            </w:r>
          </w:p>
        </w:tc>
      </w:tr>
      <w:tr w:rsidRPr="00F6439B" w:rsidR="003B3105" w14:paraId="6F801B14" w14:textId="77777777">
        <w:tc>
          <w:tcPr>
            <w:tcW w:w="1384" w:type="dxa"/>
            <w:vMerge w:val="restart"/>
            <w:tcBorders>
              <w:top w:val="single" w:color="auto" w:sz="12" w:space="0"/>
              <w:left w:val="single" w:color="auto" w:sz="12" w:space="0"/>
            </w:tcBorders>
            <w:shd w:val="clear" w:color="auto" w:fill="auto"/>
          </w:tcPr>
          <w:p w:rsidRPr="00F6439B" w:rsidR="003B3105" w:rsidP="001E533B" w:rsidRDefault="003B3105" w14:paraId="39C8E458" w14:textId="3C93645F">
            <w:pPr>
              <w:rPr>
                <w:rFonts w:ascii="新細明體" w:hAnsi="新細明體" w:eastAsia="新細明體"/>
              </w:rPr>
            </w:pPr>
            <w:r>
              <w:rPr>
                <w:rFonts w:hint="eastAsia" w:ascii="新細明體" w:hAnsi="新細明體" w:eastAsia="新細明體"/>
              </w:rPr>
              <w:t>CA-61210</w:t>
            </w:r>
          </w:p>
        </w:tc>
        <w:tc>
          <w:tcPr>
            <w:tcW w:w="1276" w:type="dxa"/>
            <w:vMerge w:val="restart"/>
            <w:tcBorders>
              <w:top w:val="single" w:color="auto" w:sz="12" w:space="0"/>
            </w:tcBorders>
            <w:shd w:val="clear" w:color="auto" w:fill="auto"/>
          </w:tcPr>
          <w:p w:rsidRPr="00F6439B" w:rsidR="003B3105" w:rsidP="001E533B" w:rsidRDefault="003B3105" w14:paraId="6AECD2F1" w14:textId="77777777">
            <w:pPr>
              <w:rPr>
                <w:rFonts w:ascii="新細明體" w:hAnsi="新細明體" w:eastAsia="新細明體"/>
              </w:rPr>
            </w:pPr>
            <w:r>
              <w:rPr>
                <w:rFonts w:hint="eastAsia" w:ascii="新細明體" w:hAnsi="新細明體" w:eastAsia="新細明體"/>
              </w:rPr>
              <w:t>受託買賣及成交作業</w:t>
            </w:r>
          </w:p>
        </w:tc>
        <w:tc>
          <w:tcPr>
            <w:tcW w:w="5386" w:type="dxa"/>
            <w:tcBorders>
              <w:top w:val="single" w:color="auto" w:sz="12" w:space="0"/>
              <w:bottom w:val="nil"/>
            </w:tcBorders>
            <w:shd w:val="clear" w:color="auto" w:fill="auto"/>
          </w:tcPr>
          <w:p w:rsidRPr="003B3105" w:rsidR="003B3105" w:rsidP="003B3105" w:rsidRDefault="003B3105" w14:paraId="1A6552A0"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5387" w:type="dxa"/>
            <w:tcBorders>
              <w:top w:val="single" w:color="auto" w:sz="12" w:space="0"/>
              <w:bottom w:val="nil"/>
            </w:tcBorders>
            <w:shd w:val="clear" w:color="auto" w:fill="auto"/>
          </w:tcPr>
          <w:p w:rsidRPr="003B3105" w:rsidR="003B3105" w:rsidP="003B3105" w:rsidRDefault="003B3105" w14:paraId="3C1F8D55" w14:textId="77777777">
            <w:pPr>
              <w:spacing w:line="360" w:lineRule="exact"/>
              <w:rPr>
                <w:rFonts w:ascii="新細明體" w:hAnsi="新細明體" w:eastAsia="新細明體" w:cs="Times New Roman"/>
              </w:rPr>
            </w:pPr>
            <w:r w:rsidRPr="00F6439B">
              <w:rPr>
                <w:rFonts w:hint="eastAsia" w:ascii="新細明體" w:hAnsi="新細明體" w:eastAsia="新細明體" w:cs="新細明體"/>
              </w:rPr>
              <w:t>作業程序及控制重點：</w:t>
            </w:r>
          </w:p>
        </w:tc>
        <w:tc>
          <w:tcPr>
            <w:tcW w:w="2023" w:type="dxa"/>
            <w:vMerge w:val="restart"/>
            <w:tcBorders>
              <w:top w:val="single" w:color="auto" w:sz="12" w:space="0"/>
              <w:right w:val="single" w:color="auto" w:sz="12" w:space="0"/>
            </w:tcBorders>
            <w:shd w:val="clear" w:color="auto" w:fill="auto"/>
          </w:tcPr>
          <w:p w:rsidRPr="00F6439B" w:rsidR="003B3105" w:rsidP="003B3105" w:rsidRDefault="003B3105" w14:paraId="217DBB1D" w14:textId="77777777">
            <w:pPr>
              <w:spacing w:line="360" w:lineRule="exact"/>
              <w:ind w:left="28" w:right="28"/>
              <w:rPr>
                <w:rFonts w:ascii="新細明體" w:hAnsi="新細明體" w:eastAsia="新細明體"/>
              </w:rPr>
            </w:pPr>
            <w:r>
              <w:rPr>
                <w:rFonts w:hint="eastAsia" w:ascii="新細明體" w:hAnsi="新細明體" w:eastAsia="新細明體" w:cs="Times New Roman"/>
                <w:color w:val="FF0000"/>
                <w:spacing w:val="20"/>
                <w:szCs w:val="20"/>
                <w:u w:val="single"/>
              </w:rPr>
              <w:t>配合證交所「證券經紀商受託買賣預收款券作業應行注意事項」第一點及櫃檯買賣中心「櫃檯買賣證券經紀商受託買賣預收款券有價證券應行注意事項」第二點規定修正，增訂證券商受託賣出列為處置證券之受益憑證時，須確認客戶已取得相關申購部位確認，爰予修正。</w:t>
            </w: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受託買賣作業：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(一)</w:t>
            </w:r>
            <w:r>
              <w:rPr>
                <w:rFonts w:hint="eastAsia" w:ascii="新細明體" w:hAnsi="新細明體" w:eastAsia="新細明體" w:cs="新細明體"/>
              </w:rPr>
              <w:t>受託買賣作業：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買賣有價證券時，若屬當面委託，則應由客戶自行填寫委託書並簽章，營業員於接到委託書時，應逐項檢視填寫內容及簽章是否完備，若無誤，營業員即在委託書上簽章，依交易終端機別依序編號並列印委託日期、時間後輸入電腦，隨即由專用列表機列印委託輸入回報單。營業員如有事先簽章之空白委託書，不得提供或任令客戶或他人拿取或使用，公司人員亦不得使用或保管或留置客戶或他人事先簽章之空白委託書，委託書僅填具部分內容，尚未能明確表示委託事項者，視為空白委託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公司採主機連線者，就當面委託客戶之委託買賣時間紀錄方式，除使用印時鐘紀錄外，得採用錄影之配套機制，紀錄客戶委託時間及序號。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公司採主機連線者，就當面委託客戶之委託買賣時間紀錄方式，除使用印時鐘紀錄外，得採用錄影之配套機制，紀錄客戶委託時間及序號。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由營業員負責填、印製委託書並簽章後，遞交終端機操作員同依上項程序輸入電腦進行交易，俟委託成交後通知客戶補辦簽章（客戶已簽訂委託人交割/給付結算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證交所106年8月24日臺證輔字第1060015757號函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以電話、電報、書信或其他經證交所及櫃檯買賣中心同意之方式（如傳真，或公司得接受專業機構投資人透過資訊公司﹝例如Bloomberg L.P.、Fidessa plc、Sungard、Instinet Pacific Services Limited、Thomson Reuters、ITG...等﹞所提供之系統傳遞委託買賣有價證券內容或指令，公司與客戶應確保資訊平台之交易安全性與資料保存之完整性）委託者，由營業員負責填、印製委託書並簽章後，遞交終端機操作員同依上項程序輸入電腦進行交易，俟委託成交後通知客戶補辦簽章（客戶已簽訂委託人交割/給付結算款券轉撥同意書者除外）。除電話委託外，應將函電、傳真或相關文件附於委託書後備查。營業員以電子方式填具委託書、印製買賣委託紀錄者，書信或電報之委託，應將函電附於委託書或買賣委託紀錄後；以電子方式填具委託書者，如能執行受託買賣分層負責暨確認該筆委託歸屬之受託買賣人員，得免逐一列印委託書，但應依時序別列印買賣委託紀錄，並於收市後由營業員簽章；以電子方式填具委託書且未逐一列印者，並應使用無法修改與消除之電子媒體儲存。公司設立集中接單中心，受理客戶以電話、書信、電報或其他經證交所同意之方式委託買賣有價證券者，應依證交所106年8月24日臺證輔字第1060015757號函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接受客戶以傳真方式委託買賣有價證券時，為避免產生交易糾紛並保護個人資料，公司應採行下列管控機制以為配套：</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接受客戶以傳真方式委託買賣有價證券時，為避免產生交易糾紛並保護個人資料，公司應採行下列管控機制以為配套：</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應要求客戶於傳真文件上簽章並填具隱藏後4碼之身分證字號，或要求客戶於傳真文件上簽章並核對與其開戶留存簽章是否相符。</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應要求客戶於傳真文件上簽章並填具隱藏後4碼之身分證字號，或要求客戶於傳真文件上簽章並核對與其開戶留存簽章是否相符。</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應設置專用傳真機於營業櫃檯內供使用，並應每日檢查傳真機顯示時間有無誤差。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應設置專用傳真機於營業櫃檯內供使用，並應每日檢查傳真機顯示時間有無誤差。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委託書編號應按客戶委託先後依序編號並列印日期、時間，不得有空號、跳號或重複編號之情形。客戶得以口頭、電話或書面通知營業員變更或撤銷委託事項，營業員於接到通知後立即交付終端機操作人員更正，但以未成交部分為限，書面通知變更或撤銷文件應附於原委託書中備查。</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採用電腦交易作業之股票其申報價格以不超逾當日漲跌停板之升降幅度為限。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採用電腦交易作業之股票其申報價格以不超逾當日漲跌停板之升降幅度為限。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買賣之委託，得自開盤時間開始前半小時輸入，但若屬零股、鉅額買賣及有價證券除債券(不含可轉換公司債)外之盤後定價等交易，其委託買賣之輸入時間則另依證交所及櫃檯買賣中心相關規定辦理。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買賣之委託，得自開盤時間開始前半小時輸入，但若屬零股、鉅額買賣及有價證券除債券(不含可轉換公司債)外之盤後定價等交易，其委託買賣之輸入時間則另依證交所及櫃檯買賣中心相關規定辦理。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證交所或櫃檯買賣中心電腦交易撮合成交後，經委任證券商之通知或由專用列表機列印成交回報單，營業員以電話、廣播或客戶自行由刷卡成交回報系統得知成交。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證交所或櫃檯買賣中心電腦交易撮合成交後，經委任證券商之通知或由專用列表機列印成交回報單，營業員以電話、廣播或客戶自行由刷卡成交回報系統得知成交。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將委託書與成交回報單核對後（俗稱勾單），在已成交之委託書上蓋「已成交」戳記，另未成交之委託書亦須加蓋「未成交」或「註銷」戳記，並依規定期限保存，而於期限屆滿後，如無爭議，得自行銷毀。</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將委託書與成交回報單核對後（俗稱勾單），在已成交之委託書上蓋「已成交」戳記，另未成交之委託書亦須加蓋「未成交」或「註銷」戳記，並依規定期限保存，而於期限屆滿後，如無爭議，得自行銷毀。</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客戶之委託經評估其信用狀況如有逾越其投資能力，除提供適當之擔保者外，得依「證券商管理規則」第三十五條之規定拒絕受託買賣。除客戶已提供適當擔保外，當日委託買賣金額不得逾越所評估之單日買賣最高額度(註：取消委託買賣之金額不列入當日委託買賣金額。另客戶為金融機構者，其處分客戶質押之斷頭股票，暨客戶係經經濟部投資審議委員會、科學工業園區管理局、加工出口區管理處專案核准投資者僅得賣出之有價證券，不受單日買賣最高額度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不得接受已轉讓且未向發行公司辦理過戶登記之記名股票借用他人交易帳戶賣出(註：遺產管理人行使法定職權不在此限)。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不得接受已轉讓且未向發行公司辦理過戶登記之記名股票借用他人交易帳戶賣出(註：遺產管理人行使法定職權不在此限)。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客戶如係依規得為委託代理開戶或上月成交金額達五千萬元以上，經委任證券商依規定函證未能送達或未覆函者，營業員應注意控管其委託買賣。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客戶如係依規得為委託代理開戶或上月成交金額達五千萬元以上，經委任證券商依規定函證未能送達或未覆函者，營業員應注意控管其委託買賣。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每一帳戶當日成交金額達五百萬元(得視股價高低作適度調整)以上應就客戶之身分、帳戶加以列表查對確認是否為客戶使用其本人之帳戶委託買賣、或是他人(含代理人)使用客戶帳戶委託買賣；經查對如發現有集中使用帳戶（係指多數客戶共同使用同一帳戶委託買賣）或分散使用帳戶（係指同一客戶使用多個帳戶委託買賣）時，應瞭解其委託買賣行為，是否違反相關法令規章。</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受託買賣如有下列情事之一者，不得受理：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受託買賣如有下列情事之一者，不得受理：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全權選擇證券種類之委託買賣。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全權選擇證券種類之委託買賣。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全權決定買賣數量之委託買賣。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全權決定買賣數量之委託買賣。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全權決定買賣價格之委託買賣。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全權決定買賣價格之委託買賣。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全權決定賣出或買入之委託買賣。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(4)</w:t>
            </w:r>
            <w:r>
              <w:rPr>
                <w:rFonts w:hint="eastAsia" w:ascii="新細明體" w:hAnsi="新細明體" w:eastAsia="新細明體" w:cs="新細明體"/>
              </w:rPr>
              <w:t>全權決定賣出或買入之委託買賣。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未經核准上市或暫停交易之證券買賣。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(5)</w:t>
            </w:r>
            <w:r>
              <w:rPr>
                <w:rFonts w:hint="eastAsia" w:ascii="新細明體" w:hAnsi="新細明體" w:eastAsia="新細明體" w:cs="新細明體"/>
              </w:rPr>
              <w:t>未經核准上市或暫停交易之證券買賣。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已停止上市之證券買賣。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(6)</w:t>
            </w:r>
            <w:r>
              <w:rPr>
                <w:rFonts w:hint="eastAsia" w:ascii="新細明體" w:hAnsi="新細明體" w:eastAsia="新細明體" w:cs="新細明體"/>
              </w:rPr>
              <w:t>已停止上市之證券買賣。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分期付款方式之證券買賣。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(7)</w:t>
            </w:r>
            <w:r>
              <w:rPr>
                <w:rFonts w:hint="eastAsia" w:ascii="新細明體" w:hAnsi="新細明體" w:eastAsia="新細明體" w:cs="新細明體"/>
              </w:rPr>
              <w:t>分期付款方式之證券買賣。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對客戶作贏利之保證或分享利益之證券買賣。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(8)</w:t>
            </w:r>
            <w:r>
              <w:rPr>
                <w:rFonts w:hint="eastAsia" w:ascii="新細明體" w:hAnsi="新細明體" w:eastAsia="新細明體" w:cs="新細明體"/>
              </w:rPr>
              <w:t>對客戶作贏利之保證或分享利益之證券買賣。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(9)</w:t>
            </w:r>
            <w:r>
              <w:rPr>
                <w:rFonts w:hint="eastAsia" w:ascii="新細明體" w:hAnsi="新細明體" w:eastAsia="新細明體" w:cs="新細明體"/>
              </w:rPr>
              <w:t>為自己利益收買、轉售受託買賣之證券。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(9)</w:t>
            </w:r>
            <w:r>
              <w:rPr>
                <w:rFonts w:hint="eastAsia" w:ascii="新細明體" w:hAnsi="新細明體" w:eastAsia="新細明體" w:cs="新細明體"/>
              </w:rPr>
              <w:t>為自己利益收買、轉售受託買賣之證券。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12.</w:t>
            </w:r>
            <w:r>
              <w:rPr>
                <w:rFonts w:hint="eastAsia" w:ascii="新細明體" w:hAnsi="新細明體" w:eastAsia="新細明體" w:cs="新細明體"/>
              </w:rPr>
              <w:t>公司應慎選超連結之網站，並對其業務人員使用電子郵件、群組電子郵件、佈告欄及網站等進行與營業相關之行為，應負監督管理之責。其中facebook、部落格或電子郵件，係屬網站之網頁資源，公司應自行建立有關監督管理從業人員以facebook、部落格或電子郵件等方式提供客戶有價證券買賣相關資訊服務之內部控管機制，以落實監督管理；另從業人員架設之facebook、部落格或電子郵件等，若有引用超連結網站並涉及提供客戶有價證券買賣相關資訊之服務，均應先報經公司同意後始得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客戶或其法定代理人委由代理人代理委託買賣、申購有價證券或辦理交割相關手續，應出具授權書為之，代理人當面辦理上開作業者，並應留存代理人印鑑卡或簽名樣式卡憑以辦理。但客戶取消委任授權時，得採足以確認申請人為本人及其意思表示之通信或電子化方式為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13.</w:t>
            </w:r>
            <w:r>
              <w:rPr>
                <w:rFonts w:hint="eastAsia" w:ascii="新細明體" w:hAnsi="新細明體" w:eastAsia="新細明體" w:cs="新細明體"/>
              </w:rPr>
              <w:t>客戶或其法定代理人委由代理人代理委託買賣、申購有價證券或辦理交割相關手續，應出具授權書為之，代理人當面辦理上開作業者，並應留存代理人印鑑卡或簽名樣式卡憑以辦理。但客戶取消委任授權時，得採足以確認申請人為本人及其意思表示之通信或電子化方式為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受託買賣業務人員接受客戶當面委託時，委託人應為客戶本人或已出具委任授權書之合格代理人。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14.</w:t>
            </w:r>
            <w:r>
              <w:rPr>
                <w:rFonts w:hint="eastAsia" w:ascii="新細明體" w:hAnsi="新細明體" w:eastAsia="新細明體" w:cs="新細明體"/>
              </w:rPr>
              <w:t>受託買賣業務人員接受客戶當面委託時，委託人應為客戶本人或已出具委任授權書之合格代理人。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公司如提供客戶「一點開戶多點服務」作業，應依證交所104年5月14日臺證輔字第1040008533號函及105年11月30日臺證輔字第1050022488號函辦理，注意事項包括：</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15.</w:t>
            </w:r>
            <w:r>
              <w:rPr>
                <w:rFonts w:hint="eastAsia" w:ascii="新細明體" w:hAnsi="新細明體" w:eastAsia="新細明體" w:cs="新細明體"/>
              </w:rPr>
              <w:t>公司如提供客戶「一點開戶多點服務」作業，應依證交所104年5月14日臺證輔字第1040008533號函及105年11月30日臺證輔字第1050022488號函辦理，注意事項包括：</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客戶得依其需求於公司所有總、分公司委託下單，後  續之交割作業仍由原受理開戶及徵信之總、分公司辦理。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客戶得依其需求於公司所有總、分公司委託下單，後  續之交割作業仍由原受理開戶及徵信之總、分公司辦理。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公司之總、分公司受理客戶跨點臨櫃或電話委託下單 時，應經總公司檢核該客戶之委託未超過原受理開戶總、分公司所評核之單日受託買買額度，始得接受客戶下單。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公司之總、分公司受理客戶跨點臨櫃或電話委託下單 時，應經總公司檢核該客戶之委託未超過原受理開戶總、分公司所評核之單日受託買買額度，始得接受客戶下單。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如已建置客戶基本資料之共同開戶平台，訂定相關開戶作業程序、分層授權機制及內部控制制度，並保存變更紀錄軌跡等，可受理客戶於開戶完成後，依客戶需求於公司所有總、分公司申辦後續有關開立信用戶、信用戶續約、開立財富管理帳戶、有價證券借貸交易帳戶、借貸款項帳戶等所有涉及證券業務之交易帳戶、基本資料變更及銷戶等服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(3)</w:t>
            </w:r>
            <w:r>
              <w:rPr>
                <w:rFonts w:hint="eastAsia" w:ascii="新細明體" w:hAnsi="新細明體" w:eastAsia="新細明體" w:cs="新細明體"/>
              </w:rPr>
              <w:t>公司如已建置客戶基本資料之共同開戶平台，訂定相關開戶作業程序、分層授權機制及內部控制制度，並保存變更紀錄軌跡等，可受理客戶於開戶完成後，依客戶需求於公司所有總、分公司申辦後續有關開立信用戶、信用戶續約、開立財富管理帳戶、有價證券借貸交易帳戶、借貸款項帳戶等所有涉及證券業務之交易帳戶、基本資料變更及銷戶等服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公司受託辦理定期定額買賣有價證券，應依「證券商受託辦理定期定額買賣有價證券作業辦法」規定辦理。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16.</w:t>
            </w:r>
            <w:r>
              <w:rPr>
                <w:rFonts w:hint="eastAsia" w:ascii="新細明體" w:hAnsi="新細明體" w:eastAsia="新細明體" w:cs="新細明體"/>
              </w:rPr>
              <w:t>公司受託辦理定期定額買賣有價證券，應依「證券商受託辦理定期定額買賣有價證券作業辦法」規定辦理。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17.</w:t>
            </w:r>
            <w:r>
              <w:rPr>
                <w:rFonts w:hint="eastAsia" w:ascii="新細明體" w:hAnsi="新細明體" w:eastAsia="新細明體" w:cs="新細明體"/>
              </w:rPr>
              <w:t>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17.</w:t>
            </w:r>
            <w:r>
              <w:rPr>
                <w:rFonts w:hint="eastAsia" w:ascii="新細明體" w:hAnsi="新細明體" w:eastAsia="新細明體" w:cs="新細明體"/>
              </w:rPr>
              <w:t>遺產管理人得檢具其戶籍所在地國稅局編配之統一編號、身分證明文件及擔任遺產管理人資格證明，以「ＯＯＯ（被繼承人）之遺產管理人ＯＯＯ（遺產管理人）」為戶名向公司申請開戶。基於前揭帳戶僅係為處置股票遺產所為，應限制只准受託賣出，不得受託買進。</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成交後核對與結帳作業：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(二)</w:t>
            </w:r>
            <w:r>
              <w:rPr>
                <w:rFonts w:hint="eastAsia" w:ascii="新細明體" w:hAnsi="新細明體" w:eastAsia="新細明體" w:cs="新細明體"/>
              </w:rPr>
              <w:t>成交後核對與結帳作業：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終端機操作員按時收取已成交之委託書，將其流水編號、營業員代號等資料輸入電腦（俗稱補單），以便與證券買賣成交紀錄逐一核對其證券種類、數量、單價是否相符。惟公司若透過委任證券商與證交所或櫃檯買賣中心進行電腦主機連線則可省略上項補單手續而藉由電腦應用系統設計之自動檢核來取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終端機操作員按時收取已成交之委託書，將其流水編號、營業員代號等資料輸入電腦（俗稱補單），以便與證券買賣成交紀錄逐一核對其證券種類、數量、單價是否相符。惟公司若透過委任證券商與證交所或櫃檯買賣中心進行電腦主機連線則可省略上項補單手續而藉由電腦應用系統設計之自動檢核來取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每日收盤後，經上開核對無誤，營業員即依其個別成交資料明細表核對其交易內容檢視是否須更改交易類別(俗稱改帳)。如須更改，公司應通知委任證券商依證交所或櫃檯買賣中心「證券商辦理更改交易類別作業處理要點」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每日收盤後，經上開核對無誤，營業員即依其個別成交資料明細表核對其交易內容檢視是否須更改交易類別(俗稱改帳)。如須更改，公司應通知委任證券商依證交所或櫃檯買賣中心「證券商辦理更改交易類別作業處理要點」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若無異常，依交易有關報表憑證分別與證交所、櫃檯買賣中心及集保公司電腦所產生之當日交易資料，先核對金額再核對數量，必須完全正確，倘有不符部分，即通知委任證券商依規定向證交所或櫃檯買賣中心申報錯帳或更正帳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若無異常，依交易有關報表憑證分別與證交所、櫃檯買賣中心及集保公司電腦所產生之當日交易資料，先核對金額再核對數量，必須完全正確，倘有不符部分，即通知委任證券商依規定向證交所或櫃檯買賣中心申報錯帳或更正帳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受託買賣變更交易方法及處置證券：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(三)</w:t>
            </w:r>
            <w:r>
              <w:rPr>
                <w:rFonts w:hint="eastAsia" w:ascii="新細明體" w:hAnsi="新細明體" w:eastAsia="新細明體" w:cs="新細明體"/>
              </w:rPr>
              <w:t>受託買賣變更交易方法及處置證券：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變更交易方法有價證券或依證交所及櫃檯買賣中心其他規定應預收款券之有價證券，於接受委託買賣時，應先預收足額或一定成數之款券（但公司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受處置有價證券，得於受託當日或前一營業日收取或圈存經客戶同意留存於證券商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r>
              <w:rPr>
                <w:rFonts w:hint="eastAsia" w:ascii="新細明體" w:hAnsi="新細明體" w:eastAsia="新細明體" w:cs="新細明體"/>
                <w:b/>
                <w:u w:val="single"/>
                <w:color w:val="FF0000 "/>
              </w:rPr>
              <w:t>另公司依證交所受益憑證買賣辦法第十四條第六項或櫃檯買賣中心指數股票型基金及主動式交易所交易基金受益憑證買賣辦法第十三條第五項規定，受託賣出受益憑證申購部位，須經證交所或櫃檯買賣中心相關作業系統確認客戶已取得證券投資信託事業或期貨信託事業之申購部位確認，始得受理賣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變更交易方法有價證券或依證交所及櫃檯買賣中心其他規定應預收款券之有價證券，於接受委託買賣時，應先預收足額或一定成數之款券（但公司以違約專戶買賣變更交易方法及處置有價證券者，或有保管機構代理之機構投資人或政府基金，申報賣出單一變更交易方法之有價證券，當日累計金額未達新臺幣伍仟萬元以上者，不在此限），公司接受客戶買進變更交易方法或受處置有價證券，得於受託當日或前一營業日收取或圈存經客戶同意留存於證券商交割專戶應預收之款項，並應負責查證匯款人是以客戶之本人名義，證券商從業人員係由本人之劃撥銀行帳戶匯入公司預收款交割專戶，始得辦理買賣申報。但客戶如係境外華僑及外國人與保管機構約定已圈存之款券不得匯撥移作他用者，就其委託買賣處置有價證券，公司得經集保公司相關作業系統，確認保管機構已圈存足額款券後受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零股交易：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(四)</w:t>
            </w:r>
            <w:r>
              <w:rPr>
                <w:rFonts w:hint="eastAsia" w:ascii="新細明體" w:hAnsi="新細明體" w:eastAsia="新細明體" w:cs="新細明體"/>
              </w:rPr>
              <w:t>零股交易：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客戶應開立集中保管劃撥帳戶，始得接受其委託零股買賣。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客戶應開立集中保管劃撥帳戶，始得接受其委託零股買賣。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(刪除)</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(刪除)</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盤後零股交易買賣申報時間應為每日下午一時四十分起至二時三十分止；公司若選擇參與盤中零股交易，盤中零股交易之買賣申報時間應為每日上午九時至下午一時三十分(自109年10月26日起實施)。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盤後零股交易買賣申報時間應為每日下午一時四十分起至二時三十分止；公司若選擇參與盤中零股交易，盤中零股交易之買賣申報時間應為每日上午九時至下午一時三十分(自109年10月26日起實施)。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零股交易每日升降幅度，適用證交所「營業細則」第六十三條或櫃檯買賣中心「證券商營業處所買賣有價證券業務規則」第五十五條規定。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零股交易每日升降幅度，適用證交所「營業細則」第六十三條或櫃檯買賣中心「證券商營業處所買賣有價證券業務規則」第五十五條規定。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凡客戶一次買賣上市櫃證券有證交所營業細則第七十一條或櫃檯買賣中心「證券商營業處所買賣有價證券業務規則」第三十五條之四情形之一者，委託書上須註明鉅額交易，其申報價格及時間依證交所「上市證券鉅額買賣辦法」或櫃檯買賣中心「上櫃證券鉅額買賣辦法」之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(五)</w:t>
            </w:r>
            <w:r>
              <w:rPr>
                <w:rFonts w:hint="eastAsia" w:ascii="新細明體" w:hAnsi="新細明體" w:eastAsia="新細明體" w:cs="新細明體"/>
              </w:rPr>
              <w:t>凡客戶一次買賣上市櫃證券有證交所營業細則第七十一條或櫃檯買賣中心「證券商營業處所買賣有價證券業務規則」第三十五條之四情形之一者，委託書上須註明鉅額交易，其申報價格及時間依證交所「上市證券鉅額買賣辦法」或櫃檯買賣中心「上櫃證券鉅額買賣辦法」之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或櫃檯買賣中心各該買賣辦法及相關規定辦理。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(六)</w:t>
            </w:r>
            <w:r>
              <w:rPr>
                <w:rFonts w:hint="eastAsia" w:ascii="新細明體" w:hAnsi="新細明體" w:eastAsia="新細明體" w:cs="新細明體"/>
              </w:rPr>
              <w:t>受託買賣債券(含外國債券及中央公債鉅額買賣)、受益憑證（含不動產投資信託受益證券）、存託憑證、轉換公司債及債券換股權利證書、公司債（債權型態之受益證券、資產基礎證券、不動產資產信託受益證券交易方式準用公司債規定）、新股權利證書或股款繳納憑證、附認股權有價證券、外國股票、指數投資證券(Exchange Traded Note,ETN)等，依證交所或櫃檯買賣中心各該買賣辦法及相關規定辦理。對於客戶為取得首次買賣槓桿反向指數股票型證券投資信託基金受益憑證、槓桿反向指數股票型期貨信託基金受益憑證、槓桿反向型指數投資證券之條件，而有從事異常買賣時，公司應評估客戶是否具有買賣辦法規定首次買賣應具備條件之實質經驗，必要時得予拒絕受託買賣。惟得接受客戶因繼承取得槓桿反向ETF之委託賣出，不受適格性條件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受託買賣認購(售)權證應依證交所「認購(售)權證買賣辦法」或櫃檯買賣中心「認購(售)權證買賣辦法」及相關規定辦理。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(七)</w:t>
            </w:r>
            <w:r>
              <w:rPr>
                <w:rFonts w:hint="eastAsia" w:ascii="新細明體" w:hAnsi="新細明體" w:eastAsia="新細明體" w:cs="新細明體"/>
              </w:rPr>
              <w:t>受託買賣認購(售)權證應依證交所「認購(售)權證買賣辦法」或櫃檯買賣中心「認購(售)權證買賣辦法」及相關規定辦理。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接受客戶委託拍賣、標購上市證券者，應依證交所「受託辦理上市證券拍賣辦法」、「辦理上市證券標購辦法」及櫃檯買賣中心「辦理上櫃證券標購辦法」辦理。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(八)</w:t>
            </w:r>
            <w:r>
              <w:rPr>
                <w:rFonts w:hint="eastAsia" w:ascii="新細明體" w:hAnsi="新細明體" w:eastAsia="新細明體" w:cs="新細明體"/>
              </w:rPr>
              <w:t>接受客戶委託拍賣、標購上市證券者，應依證交所「受託辦理上市證券拍賣辦法」、「辦理上市證券標購辦法」及櫃檯買賣中心「辦理上櫃證券標購辦法」辦理。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營業時間內僅董事長、總經理、營業部門經理、分公司經理、登記合格之辦理受託買賣有價證券及申報(電腦操作)業務之人員、內部稽核人員、法令遵循人員及營業櫃檯事務員方得進入營業櫃檯、交易室，公司並應落實下列控管配套措施：</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(九)</w:t>
            </w:r>
            <w:r>
              <w:rPr>
                <w:rFonts w:hint="eastAsia" w:ascii="新細明體" w:hAnsi="新細明體" w:eastAsia="新細明體" w:cs="新細明體"/>
              </w:rPr>
              <w:t>營業時間內僅董事長、總經理、營業部門經理、分公司經理、登記合格之辦理受託買賣有價證券及申報(電腦操作)業務之人員、內部稽核人員、法令遵循人員及營業櫃檯事務員方得進入營業櫃檯、交易室，公司並應落實下列控管配套措施：</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內部稽核人員及法令遵循人員進入營業櫃檯、交易室，應簽署避免利益衝突聲明書並提出進入申請且經權責主管核可後方得進入，相關紀錄至少保存五年。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內部稽核人員及法令遵循人員進入營業櫃檯、交易室，應簽署避免利益衝突聲明書並提出進入申請且經權責主管核可後方得進入，相關紀錄至少保存五年。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董事長、總經理及分公司經理因業務需要，方得進入營業櫃檯、交易室，進入時應登記及載明進入事由，進出紀錄至少保存五年。</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董事長、總經理及分公司經理因業務需要，方得進入營業櫃檯、交易室，進入時應登記及載明進入事由，進出紀錄至少保存五年。</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165"/>
            </w:pPr>
            <w:r>
              <w:rPr>
                <w:rFonts w:hint="eastAsia" w:ascii="新細明體" w:hAnsi="新細明體" w:eastAsia="新細明體" w:cs="新細明體"/>
              </w:rPr>
              <w:t>(十)</w:t>
            </w:r>
            <w:r>
              <w:rPr>
                <w:rFonts w:hint="eastAsia" w:ascii="新細明體" w:hAnsi="新細明體" w:eastAsia="新細明體" w:cs="新細明體"/>
              </w:rPr>
              <w:t>接受客戶之委託，以限價委託者，應以客戶限定價格為之，並於委託書「限價」欄位詳實記載委託價格；以市價委託者則無須指定價格，每次撮合前，市價委託按證交所營業細則及櫃檯買賣中心業務規則所訂原則轉換參考價格，並視為其申報價格。公司得接受法人、其他機構或特定自然人，於其指定漲跌幅範圍之價格區間內，授權公司代為決定價格及下單時間，並依規定保存客戶授權委託紀錄，公司受託買賣該種委託時，應於委託書註記「授權委託」，以資區別；申報買賣時應視市場情況及市場供求關係，注意勿損及市場公正價格之形成及市場之健全發展。前開特定自然人須同時符合下列條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提供新臺幣五千萬元以上之財力證明。</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提供新臺幣五千萬元以上之財力證明。</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具備充分之金融商品專業知識或交易經驗（係指符合下列條件之一者：一、曾任職於證券、期貨、金融或保險機構，或有其他學經歷足資證明具備證券專業知識者。二、同時符合下列條件者：（一）開戶滿六個月。（二）提出最近一年於證券市場交易滿二十筆之證明；開戶未滿一年者，亦同。（三）未有證券交易違約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具備充分之金融商品專業知識或交易經驗（係指符合下列條件之一者：一、曾任職於證券、期貨、金融或保險機構，或有其他學經歷足資證明具備證券專業知識者。二、同時符合下列條件者：（一）開戶滿六個月。（二）提出最近一年於證券市場交易滿二十筆之證明；開戶未滿一年者，亦同。（三）未有證券交易違約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出具載明由證券商登記合格之業務員向其詳盡說明授權委託相關權利義務關係及風險注意事項，並確認已受充分告知及暸解且同意簽署為特定自然人之聲明書。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出具載明由證券商登記合格之業務員向其詳盡說明授權委託相關權利義務關係及風險注意事項，並確認已受充分告知及暸解且同意簽署為特定自然人之聲明書。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前開特定自然人得使用憑證機構所簽發之電子簽章或自行以書面方式簽署前項第3款之聲明書。惟對於已填具委任授權書之客戶，得依據公司管理政策，審慎評估後，自行決定開放或禁止使用電子簽章辦理，如採開放政策，應於公司內部控制制度訂定適當之控管機制及查核程序（註：請公司自訂）。公司接受特定自然人以線上方式申請授權委託，應於網頁提供含授權委託相關權利義務關係及風險注意事項之內容予客戶審閱，其簽署程序應符合券商公會「會員接受客戶授權委託買賣有價證券自律規則」第2條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公司接受前開特定自然人授權委託，應符合下列各項之內部管控措施：一、應對客戶屬性或適當性作充分之評估及瞭解。二、應告知客戶授權委託相關風險事項。三、接受客戶授權委託之時間區間、頻率及執行價格範圍等方式之限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公司接受前開特定自然人授權委託，應符合下列各項之內部管控措施：一、應對客戶屬性或適當性作充分之評估及瞭解。二、應告知客戶授權委託相關風險事項。三、接受客戶授權委託之時間區間、頻率及執行價格範圍等方式之限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(十一)</w:t>
            </w:r>
            <w:r>
              <w:rPr>
                <w:rFonts w:hint="eastAsia" w:ascii="新細明體" w:hAnsi="新細明體" w:eastAsia="新細明體" w:cs="新細明體"/>
              </w:rPr>
              <w:t>公司受託買進創新板有價證券，委託人除專業機構投資人外，於其初次買進創新板上市有價證券前，應已簽署創新板上市有價證券風險預告書並經專人解說，公司始得接受其委託；如採電子簽章簽署方式，適用證交所104年8月27日臺證輔字第1040016021號函規定，應強化簽署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櫃檯買賣中心）。</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(十二)</w:t>
            </w:r>
            <w:r>
              <w:rPr>
                <w:rFonts w:hint="eastAsia" w:ascii="新細明體" w:hAnsi="新細明體" w:eastAsia="新細明體" w:cs="新細明體"/>
              </w:rPr>
              <w:t>不得以手機接受客戶委託買賣有價證券，對電話委託之客戶，應同步錄音，並至少保存一年（註：保存期限由二個月延長為一年，自100年10月5日起實施）。但買賣委託有爭議者，應保存至該爭議消除為止。如公司發生設備故障或作業疏漏時，應於事實發生之日起二日內將其原因事實及改善情形申報證交所（櫃檯買賣中心）。</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公司與客戶間之有價證券買賣委託及回報方式應依下列規定辦理：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(十三)</w:t>
            </w:r>
            <w:r>
              <w:rPr>
                <w:rFonts w:hint="eastAsia" w:ascii="新細明體" w:hAnsi="新細明體" w:eastAsia="新細明體" w:cs="新細明體"/>
              </w:rPr>
              <w:t>公司與客戶間之有價證券買賣委託及回報方式應依下列規定辦理：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非電子式交易型態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非電子式交易型態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其成交回報得採電子郵件、電話、傳真、簡訊、語音或網頁程式。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其成交回報得採電子郵件、電話、傳真、簡訊、語音或網頁程式。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電子式交易型態</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電子式交易型態</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pPr>
            <w:r>
              <w:rPr>
                <w:rFonts w:hint="eastAsia" w:ascii="新細明體" w:hAnsi="新細明體" w:eastAsia="新細明體" w:cs="新細明體"/>
              </w:rPr>
              <w:t>除語音委託外，其買賣委託、委託回報及成交回報等電子文件之傳輸，應使用憑證機構所簽發之電子簽章簽署，憑以辨識及確認，但有下列情形者不在此限：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pPr>
            <w:r>
              <w:rPr>
                <w:rFonts w:hint="eastAsia" w:ascii="新細明體" w:hAnsi="新細明體" w:eastAsia="新細明體" w:cs="新細明體"/>
              </w:rPr>
              <w:t>除語音委託外，其買賣委託、委託回報及成交回報等電子文件之傳輸，應使用憑證機構所簽發之電子簽章簽署，憑以辨識及確認，但有下列情形者不在此限：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委託回報及成交回報採電話、傳真、簡訊、語音或網頁程式者。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(1)</w:t>
            </w:r>
            <w:r>
              <w:rPr>
                <w:rFonts w:hint="eastAsia" w:ascii="新細明體" w:hAnsi="新細明體" w:eastAsia="新細明體" w:cs="新細明體"/>
              </w:rPr>
              <w:t>委託回報及成交回報採電話、傳真、簡訊、語音或網頁程式者。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符合證交所或櫃檯買賣中心「證券經紀商辦理電子式專屬線路下單（DIRECT MARKET ACCESS ）作業要點」豁免條件者。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208" w:hangingChars="115"/>
            </w:pPr>
            <w:r>
              <w:rPr>
                <w:rFonts w:hint="eastAsia" w:ascii="新細明體" w:hAnsi="新細明體" w:eastAsia="新細明體" w:cs="新細明體"/>
              </w:rPr>
              <w:t>(2)</w:t>
            </w:r>
            <w:r>
              <w:rPr>
                <w:rFonts w:hint="eastAsia" w:ascii="新細明體" w:hAnsi="新細明體" w:eastAsia="新細明體" w:cs="新細明體"/>
              </w:rPr>
              <w:t>符合證交所或櫃檯買賣中心「證券經紀商辦理電子式專屬線路下單（DIRECT MARKET ACCESS ）作業要點」豁免條件者。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460"/>
            </w:pPr>
            <w:r>
              <w:rPr>
                <w:rFonts w:hint="eastAsia" w:ascii="新細明體" w:hAnsi="新細明體" w:eastAsia="新細明體" w:cs="新細明體"/>
              </w:rPr>
              <w:t>採網際網路等電子式交易型態交易所使用之交易主機，其受託買賣有價證券檢查點控制項目，應涵蓋證券管理法令之買賣限制或禁止規定，並至少包含下列各項︰</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460"/>
            </w:pPr>
            <w:r>
              <w:rPr>
                <w:rFonts w:hint="eastAsia" w:ascii="新細明體" w:hAnsi="新細明體" w:eastAsia="新細明體" w:cs="新細明體"/>
              </w:rPr>
              <w:t>採網際網路等電子式交易型態交易所使用之交易主機，其受託買賣有價證券檢查點控制項目，應涵蓋證券管理法令之買賣限制或禁止規定，並至少包含下列各項︰</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委託買賣證券標的的正確性及其漲跌幅限制之控管。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委託買賣證券標的的正確性及其漲跌幅限制之控管。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客戶單日買賣最高額度及信用交易額度之控管，同一證券商（含總分公司）同一客戶之單日買賣最高額度及信用交易額度應予歸戶計算。</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4.</w:t>
            </w:r>
            <w:r>
              <w:rPr>
                <w:rFonts w:hint="eastAsia" w:ascii="新細明體" w:hAnsi="新細明體" w:eastAsia="新細明體" w:cs="新細明體"/>
              </w:rPr>
              <w:t>客戶單日買賣最高額度及信用交易額度之控管，同一證券商（含總分公司）同一客戶之單日買賣最高額度及信用交易額度應予歸戶計算。</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買賣變更交易方式股票之控管。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5.</w:t>
            </w:r>
            <w:r>
              <w:rPr>
                <w:rFonts w:hint="eastAsia" w:ascii="新細明體" w:hAnsi="新細明體" w:eastAsia="新細明體" w:cs="新細明體"/>
              </w:rPr>
              <w:t>買賣變更交易方式股票之控管。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買賣公佈或通知注意交易資訊暨處置股票之控管。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6.</w:t>
            </w:r>
            <w:r>
              <w:rPr>
                <w:rFonts w:hint="eastAsia" w:ascii="新細明體" w:hAnsi="新細明體" w:eastAsia="新細明體" w:cs="新細明體"/>
              </w:rPr>
              <w:t>買賣公佈或通知注意交易資訊暨處置股票之控管。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特殊身分客戶交易限制之控管，如華僑、外國人等。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7.</w:t>
            </w:r>
            <w:r>
              <w:rPr>
                <w:rFonts w:hint="eastAsia" w:ascii="新細明體" w:hAnsi="新細明體" w:eastAsia="新細明體" w:cs="新細明體"/>
              </w:rPr>
              <w:t>特殊身分客戶交易限制之控管，如華僑、外國人等。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融資融券股票限制之控管，包括限資限券、停資停券、或自辦券商資券餘額限制等。</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8.</w:t>
            </w:r>
            <w:r>
              <w:rPr>
                <w:rFonts w:hint="eastAsia" w:ascii="新細明體" w:hAnsi="新細明體" w:eastAsia="新細明體" w:cs="新細明體"/>
              </w:rPr>
              <w:t>融資融券股票限制之控管，包括限資限券、停資停券、或自辦券商資券餘額限制等。</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零股、鉅額交易限制之控管。</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9.</w:t>
            </w:r>
            <w:r>
              <w:rPr>
                <w:rFonts w:hint="eastAsia" w:ascii="新細明體" w:hAnsi="新細明體" w:eastAsia="新細明體" w:cs="新細明體"/>
              </w:rPr>
              <w:t>零股、鉅額交易限制之控管。</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交易帳戶有效性之控管，如開戶手續未完備、違約及解約等帳戶之禁止買賣。</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10.</w:t>
            </w:r>
            <w:r>
              <w:rPr>
                <w:rFonts w:hint="eastAsia" w:ascii="新細明體" w:hAnsi="新細明體" w:eastAsia="新細明體" w:cs="新細明體"/>
              </w:rPr>
              <w:t>交易帳戶有效性之控管，如開戶手續未完備、違約及解約等帳戶之禁止買賣。</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客戶委託賣出證券時集保餘額之檢查；依規定應指定保管銀行（保管機構）之客戶，公司得視風險管控之需要，自行決定是否檢查其集保餘額。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120"/>
            </w:pPr>
            <w:r>
              <w:rPr>
                <w:rFonts w:hint="eastAsia" w:ascii="新細明體" w:hAnsi="新細明體" w:eastAsia="新細明體" w:cs="新細明體"/>
              </w:rPr>
              <w:t>11.</w:t>
            </w:r>
            <w:r>
              <w:rPr>
                <w:rFonts w:hint="eastAsia" w:ascii="新細明體" w:hAnsi="新細明體" w:eastAsia="新細明體" w:cs="新細明體"/>
              </w:rPr>
              <w:t>客戶委託賣出證券時集保餘額之檢查；依規定應指定保管銀行（保管機構）之客戶，公司得視風險管控之需要，自行決定是否檢查其集保餘額。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公司開辦網際網路等電子式交易型態業務時，與交易有關之業務憑證，包括書面文件或電磁紀錄，其保存年限比照「證券商帳表憑證保存年限表」規定辦理。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(十四)</w:t>
            </w:r>
            <w:r>
              <w:rPr>
                <w:rFonts w:hint="eastAsia" w:ascii="新細明體" w:hAnsi="新細明體" w:eastAsia="新細明體" w:cs="新細明體"/>
              </w:rPr>
              <w:t>公司開辦網際網路等電子式交易型態業務時，與交易有關之業務憑證，包括書面文件或電磁紀錄，其保存年限比照「證券商帳表憑證保存年限表」規定辦理。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對客戶經由網際網路等電子式交易型態所為之交易委託及查詢，其電腦稽核紀錄(log)應至少保留五年，但買賣委託有爭議者，應保留至爭議消除為止。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(十五)</w:t>
            </w:r>
            <w:r>
              <w:rPr>
                <w:rFonts w:hint="eastAsia" w:ascii="新細明體" w:hAnsi="新細明體" w:eastAsia="新細明體" w:cs="新細明體"/>
              </w:rPr>
              <w:t>對客戶經由網際網路等電子式交易型態所為之交易委託及查詢，其電腦稽核紀錄(log)應至少保留五年，但買賣委託有爭議者，應保留至爭議消除為止。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營業員應於營業櫃檯內接單。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(十六)</w:t>
            </w:r>
            <w:r>
              <w:rPr>
                <w:rFonts w:hint="eastAsia" w:ascii="新細明體" w:hAnsi="新細明體" w:eastAsia="新細明體" w:cs="新細明體"/>
              </w:rPr>
              <w:t>營業員應於營業櫃檯內接單。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(十七)</w:t>
            </w:r>
            <w:r>
              <w:rPr>
                <w:rFonts w:hint="eastAsia" w:ascii="新細明體" w:hAnsi="新細明體" w:eastAsia="新細明體" w:cs="新細明體"/>
              </w:rPr>
              <w:t>對於以語音、網際網路、專線、封閉式專屬網路等電子式交易型態委託者，得免製作、代填委託書，惟應依時序別列印買賣委託紀錄，並於收市後由受託買賣人員簽章，委託紀錄應含委託人姓名或帳號、委託時間、證券種類、價格(限價或市價)、數量、買賣別、有效期間、有效期別(當日有效、立即成交否則取消、立即全部成交否則取消)、營業員姓名或代碼、委託方式等。以網際網路委託者，另應記錄其網路位址(IP)及電子簽章；以語音委託者，應配合電信機構開放顯示發話端號碼之功能，記錄其來電號碼。為加強風險控管，對於委託人以語音方式委託買賣有價證券未顯示來電號碼者，應每週篩選語音下單未記錄發話端號碼之客戶明細，查明原因及確認是否為本人下單，並作成紀錄備查(同一年度已作成紀錄者得不再執行查明作業，惟每年至少應重新向已查明未顯示發話號碼之客戶再進行查明作業)。</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99"/>
            </w:pPr>
            <w:r>
              <w:rPr>
                <w:rFonts w:hint="eastAsia" w:ascii="新細明體" w:hAnsi="新細明體" w:eastAsia="新細明體" w:cs="新細明體"/>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99"/>
            </w:pPr>
            <w:r>
              <w:rPr>
                <w:rFonts w:hint="eastAsia" w:ascii="新細明體" w:hAnsi="新細明體" w:eastAsia="新細明體" w:cs="新細明體"/>
              </w:rPr>
              <w:t>公司受理非電子式交易型態之委託買賣且採電子方式填具委託書，或受理電子式交易型態之委託買賣，應依時序別列印買賣委託紀錄，並於收市後由受託買賣人員簽章。但買賣委託紀錄儲存作業符合下列規定者，得免列印買賣委託紀錄：</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使用無法修改與消除之電子儲存媒體，並於成交當日製作完成。</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使用無法修改與消除之電子儲存媒體，並於成交當日製作完成。</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建立完整目錄及管理程序。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建立完整目錄及管理程序。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專人管理負責，並可隨時將電子媒體資料轉換成書面格式。</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專人管理負責，並可隨時將電子媒體資料轉換成書面格式。</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(十八)</w:t>
            </w:r>
            <w:r>
              <w:rPr>
                <w:rFonts w:hint="eastAsia" w:ascii="新細明體" w:hAnsi="新細明體" w:eastAsia="新細明體" w:cs="新細明體"/>
              </w:rPr>
              <w:t>語音、網際網路、專線、封閉式專屬網路等電子式交易型態列印或公司以電子方式填具委託書者，列印之買賣委託紀錄及電腦檔案委託紀錄，買賣無爭議者應至少保存五年，買賣有爭議者應保留至爭議消除為止。</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為確保客戶以網際網路等電子式下單時密碼之安全性及客戶委託資訊之保密性，應依公司內部控制制度「電腦資訊管理」所訂定之「個人資料檔案安全維護計畫」確實執行。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(十九)</w:t>
            </w:r>
            <w:r>
              <w:rPr>
                <w:rFonts w:hint="eastAsia" w:ascii="新細明體" w:hAnsi="新細明體" w:eastAsia="新細明體" w:cs="新細明體"/>
              </w:rPr>
              <w:t>為確保客戶以網際網路等電子式下單時密碼之安全性及客戶委託資訊之保密性，應依公司內部控制制度「電腦資訊管理」所訂定之「個人資料檔案安全維護計畫」確實執行。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同時開辦「網際網路下單」與「電話語音下單」時，應將二種業務之開戶人數、委託筆數、委託金額、成交筆數、成交金額、更改帳號筆數、更改帳號金額、錯帳筆數、錯帳金額、違約筆數及違約金額等予以區隔。</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w:t>
            </w:r>
            <w:r>
              <w:rPr>
                <w:rFonts w:hint="eastAsia" w:ascii="新細明體" w:hAnsi="新細明體" w:eastAsia="新細明體" w:cs="新細明體"/>
              </w:rPr>
              <w:t>同時開辦「網際網路下單」與「電話語音下單」時，應將二種業務之開戶人數、委託筆數、委託金額、成交筆數、成交金額、更改帳號筆數、更改帳號金額、錯帳筆數、錯帳金額、違約筆數及違約金額等予以區隔。</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有價證券除債券(不含可轉換公司債)外之盤後定價交易：</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(二十一)</w:t>
            </w:r>
            <w:r>
              <w:rPr>
                <w:rFonts w:hint="eastAsia" w:ascii="新細明體" w:hAnsi="新細明體" w:eastAsia="新細明體" w:cs="新細明體"/>
              </w:rPr>
              <w:t>有價證券除債券(不含可轉換公司債)外之盤後定價交易：</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接受客戶委託後，於星期一至星期五每日下午二時起至二時三十分止申報，限當市有效。</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接受客戶委託後，於星期一至星期五每日下午二時起至二時三十分止申報，限當市有效。</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買賣申報之數量，應為一交易單位或其整倍數；一次買賣同一有價證券之數量，不得超過四百九十九交易單位。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買賣申報之數量，應為一交易單位或其整倍數；一次買賣同一有價證券之數量，不得超過四百九十九交易單位。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3.</w:t>
            </w:r>
            <w:r>
              <w:rPr>
                <w:rFonts w:hint="eastAsia" w:ascii="新細明體" w:hAnsi="新細明體" w:eastAsia="新細明體" w:cs="新細明體"/>
              </w:rPr>
              <w:t>盤後定價交易買賣申報之價格為申報當日之收盤價格。所稱收盤價格，係指市場交易時間之當日最後一筆成交價格。若當日市場交易時間無成交價格，其盤後定價交易應予暫停。買賣申報一經成交，即列印成交回報單。</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受託買賣外國有價證券應依「證券商受託買賣外國有價證券管理規則」及相關規定辦理。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(二十二)</w:t>
            </w:r>
            <w:r>
              <w:rPr>
                <w:rFonts w:hint="eastAsia" w:ascii="新細明體" w:hAnsi="新細明體" w:eastAsia="新細明體" w:cs="新細明體"/>
              </w:rPr>
              <w:t>受託買賣外國有價證券應依「證券商受託買賣外國有價證券管理規則」及相關規定辦理。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受理上市上櫃公司之客戶，依「上市上櫃公司買回本公司股份辦法」執行買回其庫藏股票時，不得於開盤前接受其委託。</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(二十三)</w:t>
            </w:r>
            <w:r>
              <w:rPr>
                <w:rFonts w:hint="eastAsia" w:ascii="新細明體" w:hAnsi="新細明體" w:eastAsia="新細明體" w:cs="新細明體"/>
              </w:rPr>
              <w:t>受理上市上櫃公司之客戶，依「上市上櫃公司買回本公司股份辦法」執行買回其庫藏股票時，不得於開盤前接受其委託。</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(二十四)</w:t>
            </w:r>
            <w:r>
              <w:rPr>
                <w:rFonts w:hint="eastAsia" w:ascii="新細明體" w:hAnsi="新細明體" w:eastAsia="新細明體" w:cs="新細明體"/>
              </w:rPr>
              <w:t>代理證券金融公司辦理信用交易相關業務時（自辦融資融券證券商不適用），應依證交所營業細則第七十八條或櫃檯買賣中心業務規則第六十二條之一之規定辦理，對每一營業日受託買賣單一股票融資融券張數超過各證券金融公司送達之「融資融券額度分配表」上所分配之融資融券額度時，應事先取得證金公司之同意後，並填寫制度化聯繫之申請控管表，以作為業務執行之依據，且公司應將洽請證券金融公司之程序納入電話錄音以供查核。除上開程序外，並依下列規定辦理：</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受理客戶從事融券交易，當客戶委託融券賣出張數已達最高可融券張數後，若再為融券賣出，須先獲得證券金融公司書面同意，或先取得證券金融公司電話同意方式辦理。惟以電話方式向證券金融公司洽借配額時，證券金融公司應將同意公司所洽融券配額資料輸入電腦系統，並於交易後當日或次日傳送公司，公司應就洽商證金公司同意之明細資料與其電話紀錄核對。</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就證金公司傳送給公司當日洽借融券配額之明細資料（含同意時間及成交資料明細），在核對無誤後，應由交割主管在該明細表上蓋章，該明細表應隨同電話錄音帶保存二個月，以供主管機關、證交所及櫃檯買賣中心查核。</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就證金公司傳送給公司當日洽借融券配額之明細資料（含同意時間及成交資料明細），在核對無誤後，應由交割主管在該明細表上蓋章，該明細表應隨同電話錄音帶保存二個月，以供主管機關、證交所及櫃檯買賣中心查核。</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未經客戶書面同意或契約授權，公司暨受僱員工不得違法提供客戶名單予證券投資顧問或證券投資信託事業辦理全權委託投資業務之用途。</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(二十五)</w:t>
            </w:r>
            <w:r>
              <w:rPr>
                <w:rFonts w:hint="eastAsia" w:ascii="新細明體" w:hAnsi="新細明體" w:eastAsia="新細明體" w:cs="新細明體"/>
              </w:rPr>
              <w:t>未經客戶書面同意或契約授權，公司暨受僱員工不得違法提供客戶名單予證券投資顧問或證券投資信託事業辦理全權委託投資業務之用途。</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(二十六)</w:t>
            </w:r>
            <w:r>
              <w:rPr>
                <w:rFonts w:hint="eastAsia" w:ascii="新細明體" w:hAnsi="新細明體" w:eastAsia="新細明體" w:cs="新細明體"/>
              </w:rPr>
              <w:t>不得以公司名義將屬於證券投資顧問事業範圍之資訊代為公開。公司於網站提供資訊時，應注意不得有變相為特定股票發行公司廣告或推介股票或對不特定人預測行情及涉及證券投資顧問業務事項之行為。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公司營業處所或所屬網站不得違規從事媒介客戶買賣非屬興櫃之未上市（櫃）股票，亦不得與違法從事仲介未上市（櫃）股票交易之網站連結或策略聯盟，變相為其招攬客戶。</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(二十七)</w:t>
            </w:r>
            <w:r>
              <w:rPr>
                <w:rFonts w:hint="eastAsia" w:ascii="新細明體" w:hAnsi="新細明體" w:eastAsia="新細明體" w:cs="新細明體"/>
              </w:rPr>
              <w:t>公司營業處所或所屬網站不得違規從事媒介客戶買賣非屬興櫃之未上市（櫃）股票，亦不得與違法從事仲介未上市（櫃）股票交易之網站連結或策略聯盟，變相為其招攬客戶。</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(二十八)</w:t>
            </w:r>
            <w:r>
              <w:rPr>
                <w:rFonts w:hint="eastAsia" w:ascii="新細明體" w:hAnsi="新細明體" w:eastAsia="新細明體" w:cs="新細明體"/>
              </w:rPr>
              <w:t>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(二十八)</w:t>
            </w:r>
            <w:r>
              <w:rPr>
                <w:rFonts w:hint="eastAsia" w:ascii="新細明體" w:hAnsi="新細明體" w:eastAsia="新細明體" w:cs="新細明體"/>
              </w:rPr>
              <w:t>公司對客戶單一帳戶無論成交金額，其未曾申報或有異動之代理人資料，皆須逐日依證交所99年1月15日臺證交字第0990200329號函規定確實傳輸證交所。營業員接受非客戶本人委託買賣（含法人），應確認已檢附客戶出具之委任授權書；另若電話委託遇可疑情況，應立即查詢，且為避免發生錯帳，營業員就電話委託內容應再次複述並經客戶確認無誤後再予遞單，且電話應採錄音存證；對於代理人代理多數客戶委託買賣之行為，顯與代理人委託買賣意旨不符，不宜接受此等代理人下單交易，若代理人為經主管機關依證券交易法第五十六條解除其職務者，更應嚴加禁絕，以免其影響公司聲譽，並保障客戶權益；公司之董事、監察人及受僱人，除為客戶之法定代理人或監護人者外，不得代理他人委託買賣或辦理相關手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(二十九)</w:t>
            </w:r>
            <w:r>
              <w:rPr>
                <w:rFonts w:hint="eastAsia" w:ascii="新細明體" w:hAnsi="新細明體" w:eastAsia="新細明體" w:cs="新細明體"/>
              </w:rPr>
              <w:t>接受證券承銷商以「承銷商取得有價證券出售專戶」出售依證券交易法第七十一條規定所取得之上市(櫃)有價證券時，應善盡義務，不得接受其違反報價之委託。</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(二十九)</w:t>
            </w:r>
            <w:r>
              <w:rPr>
                <w:rFonts w:hint="eastAsia" w:ascii="新細明體" w:hAnsi="新細明體" w:eastAsia="新細明體" w:cs="新細明體"/>
              </w:rPr>
              <w:t>接受證券承銷商以「承銷商取得有價證券出售專戶」出售依證券交易法第七十一條規定所取得之上市(櫃)有價證券時，應善盡義務，不得接受其違反報價之委託。</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w:t>
            </w:r>
            <w:r>
              <w:rPr>
                <w:rFonts w:hint="eastAsia" w:ascii="新細明體" w:hAnsi="新細明體" w:eastAsia="新細明體" w:cs="新細明體"/>
              </w:rPr>
              <w:t>公司提供電腦程式設定交易條件下單功能者，對於程式及檔案之存取使用，應按權限區分並適當控管，以避免客戶下單資料被不當使用或更改。（網際網路交易適用）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w:t>
            </w:r>
            <w:r>
              <w:rPr>
                <w:rFonts w:hint="eastAsia" w:ascii="新細明體" w:hAnsi="新細明體" w:eastAsia="新細明體" w:cs="新細明體"/>
              </w:rPr>
              <w:t>公司提供電腦程式設定交易條件下單功能者，對於程式及檔案之存取使用，應按權限區分並適當控管，以避免客戶下單資料被不當使用或更改。（網際網路交易適用）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(三十一)</w:t>
            </w:r>
            <w:r>
              <w:rPr>
                <w:rFonts w:hint="eastAsia" w:ascii="新細明體" w:hAnsi="新細明體" w:eastAsia="新細明體" w:cs="新細明體"/>
              </w:rPr>
              <w:t>使用電腦程式設定交易條件下單功能之客戶應與公司簽訂契約，規範有關因線路傳輸等問題而導致無法順利執行前開條件下單功能之權利義務關係。（網際網路交易適用）</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(三十一)</w:t>
            </w:r>
            <w:r>
              <w:rPr>
                <w:rFonts w:hint="eastAsia" w:ascii="新細明體" w:hAnsi="新細明體" w:eastAsia="新細明體" w:cs="新細明體"/>
              </w:rPr>
              <w:t>使用電腦程式設定交易條件下單功能之客戶應與公司簽訂契約，規範有關因線路傳輸等問題而導致無法順利執行前開條件下單功能之權利義務關係。（網際網路交易適用）</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(三十二)</w:t>
            </w:r>
            <w:r>
              <w:rPr>
                <w:rFonts w:hint="eastAsia" w:ascii="新細明體" w:hAnsi="新細明體" w:eastAsia="新細明體" w:cs="新細明體"/>
              </w:rPr>
              <w:t>辦理電子式專屬線路下單業務：</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(三十二)</w:t>
            </w:r>
            <w:r>
              <w:rPr>
                <w:rFonts w:hint="eastAsia" w:ascii="新細明體" w:hAnsi="新細明體" w:eastAsia="新細明體" w:cs="新細明體"/>
              </w:rPr>
              <w:t>辦理電子式專屬線路下單業務：</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1.</w:t>
            </w:r>
            <w:r>
              <w:rPr>
                <w:rFonts w:hint="eastAsia" w:ascii="新細明體" w:hAnsi="新細明體" w:eastAsia="新細明體" w:cs="新細明體"/>
              </w:rPr>
              <w:t>應確實遵循證交所「營業細則」、櫃檯買賣中心「業務規則」、證交所「證券經紀商受託契約準則」、證交所及櫃檯買賣中心「證券經紀商辦理電子式專屬線路下單(Direct Market Access)作業要點」等證券市場相關規定，並落實資通安全與風險管控，不得有影響證券集中交易市場及櫃檯買賣市場秩序與效率之行為。</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leftChars="165" w:hangingChars="79"/>
            </w:pPr>
            <w:r>
              <w:rPr>
                <w:rFonts w:hint="eastAsia" w:ascii="新細明體" w:hAnsi="新細明體" w:eastAsia="新細明體" w:cs="新細明體"/>
              </w:rPr>
              <w:t>2.</w:t>
            </w:r>
            <w:r>
              <w:rPr>
                <w:rFonts w:hint="eastAsia" w:ascii="新細明體" w:hAnsi="新細明體" w:eastAsia="新細明體" w:cs="新細明體"/>
              </w:rPr>
              <w:t>應依循相關法規(包含但不限於證交所及櫃檯買賣中心「證券經紀商辦理電子式專屬線路下單作業要點」、證交所「證券經紀商受託契約準則」、「證券期貨業及其他經金融監督管理委員會指定之金融機構防制洗錢及打擊資恐內部控制與稽核制度實施辦法」)訂定確認DMA下單客戶身分及客戶間關聯性之管理機制(註：請公司自訂)並落實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(三十三)</w:t>
            </w:r>
            <w:r>
              <w:rPr>
                <w:rFonts w:hint="eastAsia" w:ascii="新細明體" w:hAnsi="新細明體" w:eastAsia="新細明體" w:cs="新細明體"/>
              </w:rPr>
              <w:t>公司及所屬人員不得為獲取投機利益之目的，以職務上所知悉之消息，從事上市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(三十三)</w:t>
            </w:r>
            <w:r>
              <w:rPr>
                <w:rFonts w:hint="eastAsia" w:ascii="新細明體" w:hAnsi="新細明體" w:eastAsia="新細明體" w:cs="新細明體"/>
              </w:rPr>
              <w:t>公司及所屬人員不得為獲取投機利益之目的，以職務上所知悉之消息，從事上市有價證券買賣之交易活動或其他不正當情事；為防範公司及所屬人員於職務上知悉投信基金委託買賣之相關訊息時，將委託下單及交易訊息，洩漏予他人或為獲取投機利益之目的而有類似搭便車或對作之交易行為發生，公司應就相關訊息之保密訂定完整控管程序（註：請公司自訂）。</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(三十四)</w:t>
            </w:r>
            <w:r>
              <w:rPr>
                <w:rFonts w:hint="eastAsia" w:ascii="新細明體" w:hAnsi="新細明體" w:eastAsia="新細明體" w:cs="新細明體"/>
              </w:rPr>
              <w:t>公司內部人員委託買賣有價證券，應依證交所103年2月27日臺證交字第1030201485號函、櫃檯買賣中心103年3月6日證櫃交字第10300043711號函、證交所「證券商內部人員在所屬證券商開戶委託買賣有價證券管理辦法」及櫃檯買賣中心「櫃檯買賣證券商內部人員在所屬證券商開戶委託買賣有價證券管理辦法」之規定辦理。受託買賣業務人員接受內部人員委託買賣，如知悉其有利用他人名義為之時，應拒絕接受委託買賣，並通知受託買賣主管處理。受託買賣業務人員除自行以電子式交易外，不得受理自身及依證交所營業細則第七十五條第一項第四款所代理帳戶之委託交易。公司應避免內部人員與客戶因應付當日沖銷券差取借之利益衝突，公司對已確認有意願出借者，依出借費率由低而高取借，內部人員出借費率與客戶相同時，應優先向客戶取借。</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(三十四)</w:t>
            </w:r>
            <w:r>
              <w:rPr>
                <w:rFonts w:hint="eastAsia" w:ascii="新細明體" w:hAnsi="新細明體" w:eastAsia="新細明體" w:cs="新細明體"/>
              </w:rPr>
              <w:t>公司內部人員委託買賣有價證券，應依證交所103年2月27日臺證交字第1030201485號函、櫃檯買賣中心103年3月6日證櫃交字第10300043711號函、證交所「證券商內部人員在所屬證券商開戶委託買賣有價證券管理辦法」及櫃檯買賣中心「櫃檯買賣證券商內部人員在所屬證券商開戶委託買賣有價證券管理辦法」之規定辦理。受託買賣業務人員接受內部人員委託買賣，如知悉其有利用他人名義為之時，應拒絕接受委託買賣，並通知受託買賣主管處理。受託買賣業務人員除自行以電子式交易外，不得受理自身及依證交所營業細則第七十五條第一項第四款所代理帳戶之委託交易。公司應避免內部人員與客戶因應付當日沖銷券差取借之利益衝突，公司對已確認有意願出借者，依出借費率由低而高取借，內部人員出借費率與客戶相同時，應優先向客戶取借。</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(三十五)</w:t>
            </w:r>
            <w:r>
              <w:rPr>
                <w:rFonts w:hint="eastAsia" w:ascii="新細明體" w:hAnsi="新細明體" w:eastAsia="新細明體" w:cs="新細明體"/>
              </w:rPr>
              <w:t>公司負責人、各級業務人員及其他員工於接受客戶委託買賣有價證券或從事證券業務時，不得違反「證券商負責人與業務人員管理規則」第十八條之規定。</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(三十五)</w:t>
            </w:r>
            <w:r>
              <w:rPr>
                <w:rFonts w:hint="eastAsia" w:ascii="新細明體" w:hAnsi="新細明體" w:eastAsia="新細明體" w:cs="新細明體"/>
              </w:rPr>
              <w:t>公司負責人、各級業務人員及其他員工於接受客戶委託買賣有價證券或從事證券業務時，不得違反「證券商負責人與業務人員管理規則」第十八條之規定。</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2BC6EC63" w14:textId="77777777">
        <w:tc>
          <w:tcPr>
            <w:tcW w:w="1384" w:type="dxa"/>
            <w:vMerge/>
            <w:tcBorders>
              <w:left w:val="single" w:color="auto" w:sz="12" w:space="0"/>
            </w:tcBorders>
            <w:shd w:val="clear" w:color="auto" w:fill="auto"/>
          </w:tcPr>
          <w:p w:rsidR="003B3105" w:rsidP="001E533B" w:rsidRDefault="003B3105" w14:paraId="209BBC6A" w14:textId="77777777">
            <w:pPr>
              <w:rPr>
                <w:rFonts w:ascii="新細明體" w:hAnsi="新細明體" w:eastAsia="新細明體"/>
              </w:rPr>
            </w:pPr>
          </w:p>
        </w:tc>
        <w:tc>
          <w:tcPr>
            <w:tcW w:w="1276" w:type="dxa"/>
            <w:vMerge/>
            <w:shd w:val="clear" w:color="auto" w:fill="auto"/>
          </w:tcPr>
          <w:p w:rsidR="003B3105" w:rsidP="001E533B" w:rsidRDefault="003B3105" w14:paraId="1197E296" w14:textId="77777777">
            <w:pPr>
              <w:rPr>
                <w:rFonts w:ascii="新細明體" w:hAnsi="新細明體" w:eastAsia="新細明體"/>
              </w:rPr>
            </w:pPr>
          </w:p>
        </w:tc>
        <w:tc>
          <w:tcPr>
            <w:tcW w:w="5386" w:type="dxa"/>
            <w:tcBorders>
              <w:top w:val="nil"/>
              <w:bottom w:val="nil"/>
            </w:tcBorders>
            <w:shd w:val="clear" w:color="auto" w:fill="auto"/>
          </w:tcPr>
          <w:p w:rsidRPr="00F6439B" w:rsidR="003B3105" w:rsidP="003B3105" w:rsidRDefault="0027008E" w14:paraId="0ADC5130" w14:textId="19549BD4">
            <w:pPr>
              <w:spacing w:line="360" w:lineRule="exact"/>
              <w:rPr>
                <w:rFonts w:ascii="新細明體" w:hAnsi="新細明體" w:eastAsia="新細明體" w:cs="新細明體"/>
              </w:rPr>
              <w:ind w:hangingChars="270"/>
            </w:pPr>
            <w:r>
              <w:rPr>
                <w:rFonts w:hint="eastAsia" w:ascii="新細明體" w:hAnsi="新細明體" w:eastAsia="新細明體" w:cs="新細明體"/>
              </w:rPr>
              <w:t>(三十六)</w:t>
            </w:r>
            <w:r>
              <w:rPr>
                <w:rFonts w:hint="eastAsia" w:ascii="新細明體" w:hAnsi="新細明體" w:eastAsia="新細明體" w:cs="新細明體"/>
              </w:rPr>
              <w:t>公司受理客戶使用應用程式介面(API)服務作業應依證交所「證券商受理投資人使用應用程式介面(API)服務作業規範」辦理。如提供加值服務應由客戶自行設定參數與決定買賣之執行。</w:t>
            </w:r>
          </w:p>
        </w:tc>
        <w:tc>
          <w:tcPr>
            <w:tcW w:w="5387" w:type="dxa"/>
            <w:tcBorders>
              <w:top w:val="nil"/>
              <w:bottom w:val="nil"/>
            </w:tcBorders>
            <w:shd w:val="clear" w:color="auto" w:fill="auto"/>
          </w:tcPr>
          <w:p w:rsidRPr="00F6439B" w:rsidR="003B3105" w:rsidP="003B3105" w:rsidRDefault="0027008E" w14:paraId="412356DC" w14:textId="5DEAC3E5">
            <w:pPr>
              <w:spacing w:line="360" w:lineRule="exact"/>
              <w:rPr>
                <w:rFonts w:ascii="新細明體" w:hAnsi="新細明體" w:eastAsia="新細明體" w:cs="新細明體"/>
              </w:rPr>
              <w:ind w:hangingChars="270"/>
            </w:pPr>
            <w:r>
              <w:rPr>
                <w:rFonts w:hint="eastAsia" w:ascii="新細明體" w:hAnsi="新細明體" w:eastAsia="新細明體" w:cs="新細明體"/>
              </w:rPr>
              <w:t>(三十六)</w:t>
            </w:r>
            <w:r>
              <w:rPr>
                <w:rFonts w:hint="eastAsia" w:ascii="新細明體" w:hAnsi="新細明體" w:eastAsia="新細明體" w:cs="新細明體"/>
              </w:rPr>
              <w:t>公司受理客戶使用應用程式介面(API)服務作業應依證交所「證券商受理投資人使用應用程式介面(API)服務作業規範」辦理。如提供加值服務應由客戶自行設定參數與決定買賣之執行。</w:t>
            </w:r>
          </w:p>
        </w:tc>
        <w:tc>
          <w:tcPr>
            <w:tcW w:w="2023" w:type="dxa"/>
            <w:vMerge/>
            <w:tcBorders>
              <w:right w:val="single" w:color="auto" w:sz="12" w:space="0"/>
            </w:tcBorders>
            <w:shd w:val="clear" w:color="auto" w:fill="auto"/>
          </w:tcPr>
          <w:p w:rsidR="003B3105" w:rsidP="003B3105" w:rsidRDefault="003B3105" w14:paraId="03C80726" w14:textId="77777777">
            <w:pPr>
              <w:spacing w:line="360" w:lineRule="exact"/>
              <w:ind w:left="28" w:right="28"/>
              <w:rPr>
                <w:rFonts w:ascii="新細明體" w:hAnsi="新細明體" w:eastAsia="新細明體" w:cs="Times New Roman"/>
                <w:color w:val="FF0000"/>
                <w:spacing w:val="20"/>
                <w:szCs w:val="20"/>
                <w:u w:val="single"/>
              </w:rPr>
            </w:pPr>
          </w:p>
        </w:tc>
      </w:tr>
      <w:tr w:rsidRPr="00F6439B" w:rsidR="003B3105" w14:paraId="4AABF765" w14:textId="77777777">
        <w:tc>
          <w:tcPr>
            <w:tcW w:w="1384" w:type="dxa"/>
            <w:vMerge/>
            <w:tcBorders>
              <w:left w:val="single" w:color="auto" w:sz="12" w:space="0"/>
              <w:bottom w:val="single" w:color="auto" w:sz="12" w:space="0"/>
            </w:tcBorders>
            <w:shd w:val="clear" w:color="auto" w:fill="auto"/>
          </w:tcPr>
          <w:p w:rsidR="003B3105" w:rsidP="001E533B" w:rsidRDefault="003B3105" w14:paraId="0967528F" w14:textId="77777777">
            <w:pPr>
              <w:rPr>
                <w:rFonts w:ascii="新細明體" w:hAnsi="新細明體" w:eastAsia="新細明體"/>
              </w:rPr>
            </w:pPr>
          </w:p>
        </w:tc>
        <w:tc>
          <w:tcPr>
            <w:tcW w:w="1276" w:type="dxa"/>
            <w:vMerge/>
            <w:tcBorders>
              <w:bottom w:val="single" w:color="auto" w:sz="12" w:space="0"/>
            </w:tcBorders>
            <w:shd w:val="clear" w:color="auto" w:fill="auto"/>
          </w:tcPr>
          <w:p w:rsidR="003B3105" w:rsidP="001E533B" w:rsidRDefault="003B3105" w14:paraId="5BD6DB17" w14:textId="77777777">
            <w:pPr>
              <w:rPr>
                <w:rFonts w:ascii="新細明體" w:hAnsi="新細明體" w:eastAsia="新細明體"/>
              </w:rPr>
            </w:pPr>
          </w:p>
        </w:tc>
        <w:tc>
          <w:tcPr>
            <w:tcW w:w="5386" w:type="dxa"/>
            <w:tcBorders>
              <w:top w:val="nil"/>
              <w:bottom w:val="single" w:color="auto" w:sz="12" w:space="0"/>
            </w:tcBorders>
            <w:shd w:val="clear" w:color="auto" w:fill="auto"/>
          </w:tcPr>
          <w:p w:rsidRPr="0068743F" w:rsidR="003B3105" w:rsidP="0027008E" w:rsidRDefault="0027008E" w14:paraId="5C9FE276" w14:textId="126A04A8">
            <w:pPr>
              <w:rPr>
                <w:rFonts w:ascii="新細明體" w:hAnsi="新細明體" w:eastAsia="新細明體" w:cs="新細明體"/>
              </w:rPr>
              <w:ind w:hangingChars="270"/>
            </w:pPr>
            <w:r>
              <w:rPr>
                <w:rFonts w:hint="eastAsia" w:ascii="新細明體" w:hAnsi="新細明體" w:eastAsia="新細明體" w:cs="新細明體"/>
              </w:rPr>
              <w:t>(三十七)</w:t>
            </w:r>
            <w:r>
              <w:rPr>
                <w:rFonts w:hint="eastAsia" w:ascii="新細明體" w:hAnsi="新細明體" w:eastAsia="新細明體" w:cs="新細明體"/>
              </w:rPr>
              <w:t>公司提供客戶不同交易型態之「設定交易條件下單」功能時，買賣申報價格及有效期別應依證交所營業細則第58條之8、櫃檯買賣中心業務規則第35條之12規定辦理；且其委託書製作及保存，應依證交所營業細則第75條第8及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若「設定交易條件下單」係採當面委託時，應另提供條件式下單書面格式（含所接受之條件），由客戶填寫附於「委託書」後，做為日後稽核及發生爭議時之憑證。</w:t>
            </w:r>
          </w:p>
        </w:tc>
        <w:tc>
          <w:tcPr>
            <w:tcW w:w="5387" w:type="dxa"/>
            <w:tcBorders>
              <w:top w:val="nil"/>
              <w:bottom w:val="single" w:color="auto" w:sz="12" w:space="0"/>
            </w:tcBorders>
            <w:shd w:val="clear" w:color="auto" w:fill="auto"/>
          </w:tcPr>
          <w:p w:rsidRPr="00F6439B" w:rsidR="003B3105" w:rsidP="0027008E" w:rsidRDefault="0027008E" w14:paraId="7CBFB24A" w14:textId="08415A0E">
            <w:pPr>
              <w:spacing w:line="360" w:lineRule="exact"/>
              <w:rPr>
                <w:rFonts w:ascii="新細明體" w:hAnsi="新細明體" w:eastAsia="新細明體" w:cs="新細明體"/>
              </w:rPr>
              <w:ind w:hangingChars="270"/>
            </w:pPr>
            <w:r>
              <w:rPr>
                <w:rFonts w:hint="eastAsia" w:ascii="新細明體" w:hAnsi="新細明體" w:eastAsia="新細明體" w:cs="新細明體"/>
              </w:rPr>
              <w:t>(三十七)</w:t>
            </w:r>
            <w:r>
              <w:rPr>
                <w:rFonts w:hint="eastAsia" w:ascii="新細明體" w:hAnsi="新細明體" w:eastAsia="新細明體" w:cs="新細明體"/>
              </w:rPr>
              <w:t>公司提供客戶不同交易型態之「設定交易條件下單」功能時，買賣申報價格及有效期別應依證交所營業細則第58條之8、櫃檯買賣中心業務規則第35條之12規定辦理；且其委託書製作及保存，應依證交所營業細則第75條第8及10款、櫃檯買賣中心業務規則第62條第2及4項之規範辦理；「設定交易條件下單」採網際網路委託時，應完整保存客戶原始委託資料、條件觸發時之委託資料及憑證機構所簽發之電子簽章，且於委託紀錄之委託方式中記載係以網際網路電腦程式設定交易條件下單以茲區別；若「設定交易條件下單」係採當面委託時，應另提供條件式下單書面格式（含所接受之條件），由客戶填寫附於「委託書」後，做為日後稽核及發生爭議時之憑證。</w:t>
            </w:r>
          </w:p>
        </w:tc>
        <w:tc>
          <w:tcPr>
            <w:tcW w:w="2023" w:type="dxa"/>
            <w:vMerge/>
            <w:tcBorders>
              <w:bottom w:val="single" w:color="auto" w:sz="12" w:space="0"/>
              <w:right w:val="single" w:color="auto" w:sz="12" w:space="0"/>
            </w:tcBorders>
            <w:shd w:val="clear" w:color="auto" w:fill="auto"/>
          </w:tcPr>
          <w:p w:rsidR="003B3105" w:rsidP="003B3105" w:rsidRDefault="003B3105" w14:paraId="6127B086" w14:textId="77777777">
            <w:pPr>
              <w:spacing w:line="360" w:lineRule="exact"/>
              <w:ind w:left="28" w:right="28"/>
              <w:rPr>
                <w:rFonts w:ascii="新細明體" w:hAnsi="新細明體" w:eastAsia="新細明體" w:cs="Times New Roman"/>
                <w:color w:val="FF0000"/>
                <w:spacing w:val="20"/>
                <w:szCs w:val="20"/>
                <w:u w:val="single"/>
              </w:rPr>
            </w:pPr>
          </w:p>
        </w:tc>
      </w:tr>
    </w:tbl>
    <w:p w:rsidRPr="00F6439B" w:rsidR="001E533B" w:rsidP="00A24FFC" w:rsidRDefault="001E533B" w14:paraId="423EBB0D" w14:textId="77777777">
      <w:pPr>
        <w:rPr>
          <w:rFonts w:ascii="新細明體" w:hAnsi="新細明體" w:eastAsia="新細明體"/>
        </w:rPr>
      </w:pPr>
    </w:p>
    <w:sectPr w:rsidRPr="00F6439B" w:rsidR="001E533B"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74005" w14:textId="77777777" w:rsidR="003F2929" w:rsidRDefault="003F2929" w:rsidP="00E87601">
      <w:pPr>
        <w:spacing w:line="240" w:lineRule="auto"/>
      </w:pPr>
      <w:r>
        <w:separator/>
      </w:r>
    </w:p>
  </w:endnote>
  <w:endnote w:type="continuationSeparator" w:id="0">
    <w:p w14:paraId="17EE3F88" w14:textId="77777777" w:rsidR="003F2929" w:rsidRDefault="003F2929"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D569C" w14:textId="77777777" w:rsidR="003F2929" w:rsidRDefault="003F2929" w:rsidP="00E87601">
      <w:pPr>
        <w:spacing w:line="240" w:lineRule="auto"/>
      </w:pPr>
      <w:r>
        <w:separator/>
      </w:r>
    </w:p>
  </w:footnote>
  <w:footnote w:type="continuationSeparator" w:id="0">
    <w:p w14:paraId="13DC15AB" w14:textId="77777777" w:rsidR="003F2929" w:rsidRDefault="003F2929"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E67795"/>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Words>
  <Characters>86</Characters>
  <Application>Microsoft Office Word</Application>
  <DocSecurity>0</DocSecurity>
  <Lines>1</Lines>
  <Paragraphs>1</Paragraphs>
  <ScaleCrop>false</ScaleCrop>
  <Company>Hewlett-Packard Company</Company>
  <LinksUpToDate>false</LinksUpToDate>
  <CharactersWithSpaces>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Lawrence, Cheng 程昱偉</cp:lastModifiedBy>
  <cp:revision>13</cp:revision>
  <cp:lastPrinted>2004-03-09T19:20:00Z</cp:lastPrinted>
  <dcterms:created xsi:type="dcterms:W3CDTF">2025-04-18T10:47:00Z</dcterms:created>
  <dcterms:modified xsi:type="dcterms:W3CDTF">2025-09-09T08:25:00Z</dcterms:modified>
</cp:coreProperties>
</file>